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0A2" w:rsidRPr="00825A3F" w:rsidRDefault="00D148A4">
      <w:pPr>
        <w:spacing w:after="216"/>
        <w:ind w:right="113"/>
        <w:jc w:val="center"/>
        <w:rPr>
          <w:rFonts w:ascii="Arial" w:hAnsi="Arial" w:cs="Arial"/>
        </w:rPr>
      </w:pPr>
      <w:r w:rsidRPr="00825A3F">
        <w:rPr>
          <w:rFonts w:ascii="Arial" w:eastAsia="Times New Roman" w:hAnsi="Arial" w:cs="Arial"/>
        </w:rPr>
        <w:t>ANNEXE 2</w:t>
      </w:r>
      <w:r w:rsidR="00A57691" w:rsidRPr="00825A3F">
        <w:rPr>
          <w:rFonts w:ascii="Arial" w:eastAsia="Times New Roman" w:hAnsi="Arial" w:cs="Arial"/>
        </w:rPr>
        <w:t xml:space="preserve"> à l’acte d’engagement  </w:t>
      </w:r>
    </w:p>
    <w:p w:rsidR="009740A2" w:rsidRPr="00825A3F" w:rsidRDefault="00A57691">
      <w:pPr>
        <w:spacing w:after="0"/>
        <w:ind w:right="114"/>
        <w:jc w:val="center"/>
        <w:rPr>
          <w:rFonts w:ascii="Arial" w:hAnsi="Arial" w:cs="Arial"/>
        </w:rPr>
      </w:pPr>
      <w:r w:rsidRPr="00825A3F">
        <w:rPr>
          <w:rFonts w:ascii="Arial" w:eastAsia="Times New Roman" w:hAnsi="Arial" w:cs="Arial"/>
          <w:u w:val="single" w:color="000000"/>
        </w:rPr>
        <w:t>MEMOIRE TECHNIQUE</w:t>
      </w:r>
      <w:r w:rsidRPr="00825A3F">
        <w:rPr>
          <w:rFonts w:ascii="Arial" w:eastAsia="Times New Roman" w:hAnsi="Arial" w:cs="Arial"/>
        </w:rPr>
        <w:t xml:space="preserve"> </w:t>
      </w:r>
    </w:p>
    <w:p w:rsidR="009740A2" w:rsidRPr="00825A3F" w:rsidRDefault="00A57691">
      <w:pPr>
        <w:spacing w:after="0"/>
        <w:ind w:left="180"/>
        <w:rPr>
          <w:rFonts w:ascii="Arial" w:hAnsi="Arial" w:cs="Arial"/>
        </w:rPr>
      </w:pPr>
      <w:r w:rsidRPr="00825A3F">
        <w:rPr>
          <w:rFonts w:ascii="Arial" w:eastAsia="Times New Roman" w:hAnsi="Arial" w:cs="Arial"/>
        </w:rPr>
        <w:t xml:space="preserve"> </w:t>
      </w:r>
    </w:p>
    <w:p w:rsidR="009740A2" w:rsidRPr="00825A3F" w:rsidRDefault="000427B6">
      <w:pPr>
        <w:spacing w:after="0"/>
        <w:ind w:right="112"/>
        <w:jc w:val="center"/>
        <w:rPr>
          <w:rFonts w:ascii="Arial" w:hAnsi="Arial" w:cs="Arial"/>
          <w:b/>
        </w:rPr>
      </w:pPr>
      <w:r w:rsidRPr="00825A3F">
        <w:rPr>
          <w:rFonts w:ascii="Arial" w:eastAsia="Times New Roman" w:hAnsi="Arial" w:cs="Arial"/>
          <w:b/>
        </w:rPr>
        <w:t>Lot</w:t>
      </w:r>
      <w:r w:rsidR="00290FCF" w:rsidRPr="00825A3F">
        <w:rPr>
          <w:rFonts w:ascii="Arial" w:eastAsia="Times New Roman" w:hAnsi="Arial" w:cs="Arial"/>
          <w:b/>
        </w:rPr>
        <w:t xml:space="preserve"> unique </w:t>
      </w:r>
      <w:r w:rsidR="00F93D0F" w:rsidRPr="00825A3F">
        <w:rPr>
          <w:rFonts w:ascii="Arial" w:eastAsia="Times New Roman" w:hAnsi="Arial" w:cs="Arial"/>
          <w:b/>
        </w:rPr>
        <w:t xml:space="preserve">: </w:t>
      </w:r>
      <w:r w:rsidR="00F93D0F" w:rsidRPr="00825A3F">
        <w:rPr>
          <w:rFonts w:ascii="Arial" w:hAnsi="Arial" w:cs="Arial"/>
          <w:b/>
          <w14:props3d w14:extrusionH="0" w14:contourW="0" w14:prstMaterial="matte"/>
        </w:rPr>
        <w:t>Entretien courant des espaces verts et prestations d’élagage, abattage des sites : Vannes/</w:t>
      </w:r>
      <w:proofErr w:type="spellStart"/>
      <w:r w:rsidR="00F93D0F" w:rsidRPr="00825A3F">
        <w:rPr>
          <w:rFonts w:ascii="Arial" w:hAnsi="Arial" w:cs="Arial"/>
          <w:b/>
          <w14:props3d w14:extrusionH="0" w14:contourW="0" w14:prstMaterial="matte"/>
        </w:rPr>
        <w:t>Meucon</w:t>
      </w:r>
      <w:proofErr w:type="spellEnd"/>
      <w:r w:rsidR="00F93D0F" w:rsidRPr="00825A3F">
        <w:rPr>
          <w:rFonts w:ascii="Arial" w:hAnsi="Arial" w:cs="Arial"/>
          <w:b/>
          <w14:props3d w14:extrusionH="0" w14:contourW="0" w14:prstMaterial="matte"/>
        </w:rPr>
        <w:t xml:space="preserve"> - Saint </w:t>
      </w:r>
      <w:r w:rsidR="00BD691B">
        <w:rPr>
          <w:rFonts w:ascii="Arial" w:hAnsi="Arial" w:cs="Arial"/>
          <w:b/>
          <w14:props3d w14:extrusionH="0" w14:contourW="0" w14:prstMaterial="matte"/>
        </w:rPr>
        <w:t>P</w:t>
      </w:r>
      <w:r w:rsidR="003F32B3" w:rsidRPr="00825A3F">
        <w:rPr>
          <w:rFonts w:ascii="Arial" w:hAnsi="Arial" w:cs="Arial"/>
          <w:b/>
          <w14:props3d w14:extrusionH="0" w14:contourW="0" w14:prstMaterial="matte"/>
        </w:rPr>
        <w:t>ierre</w:t>
      </w:r>
      <w:r w:rsidR="00F93D0F" w:rsidRPr="00825A3F">
        <w:rPr>
          <w:rFonts w:ascii="Arial" w:hAnsi="Arial" w:cs="Arial"/>
          <w:b/>
          <w14:props3d w14:extrusionH="0" w14:contourW="0" w14:prstMaterial="matte"/>
        </w:rPr>
        <w:t xml:space="preserve"> Quiberon (Penthièvre).</w:t>
      </w:r>
    </w:p>
    <w:p w:rsidR="009740A2" w:rsidRPr="00825A3F" w:rsidRDefault="00A57691">
      <w:pPr>
        <w:spacing w:after="105"/>
        <w:ind w:left="180"/>
        <w:rPr>
          <w:rFonts w:ascii="Arial" w:hAnsi="Arial" w:cs="Arial"/>
        </w:rPr>
      </w:pPr>
      <w:r w:rsidRPr="00825A3F">
        <w:rPr>
          <w:rFonts w:ascii="Arial" w:eastAsia="Times New Roman" w:hAnsi="Arial" w:cs="Arial"/>
        </w:rPr>
        <w:t xml:space="preserve"> </w:t>
      </w:r>
    </w:p>
    <w:p w:rsidR="009740A2" w:rsidRPr="00825A3F" w:rsidRDefault="00A57691">
      <w:pPr>
        <w:pBdr>
          <w:top w:val="single" w:sz="4" w:space="0" w:color="000000"/>
          <w:left w:val="single" w:sz="4" w:space="0" w:color="000000"/>
          <w:bottom w:val="single" w:sz="4" w:space="0" w:color="000000"/>
          <w:right w:val="single" w:sz="4" w:space="0" w:color="000000"/>
        </w:pBdr>
        <w:spacing w:after="127" w:line="225" w:lineRule="auto"/>
        <w:ind w:left="175" w:hanging="10"/>
        <w:rPr>
          <w:rFonts w:ascii="Arial" w:hAnsi="Arial" w:cs="Arial"/>
        </w:rPr>
      </w:pPr>
      <w:r w:rsidRPr="00825A3F">
        <w:rPr>
          <w:rFonts w:ascii="Arial" w:eastAsia="Times New Roman" w:hAnsi="Arial" w:cs="Arial"/>
          <w:b/>
        </w:rPr>
        <w:t>Le présent mémoire technique est à renseigner le plus précisément possible par le candidat. Il définit clairement son offre technique pour la réalisation des prestations faisant l’objet de l</w:t>
      </w:r>
      <w:r w:rsidR="00383694" w:rsidRPr="00825A3F">
        <w:rPr>
          <w:rFonts w:ascii="Arial" w:eastAsia="Times New Roman" w:hAnsi="Arial" w:cs="Arial"/>
          <w:b/>
        </w:rPr>
        <w:t xml:space="preserve">’accord-cadre </w:t>
      </w:r>
      <w:proofErr w:type="gramStart"/>
      <w:r w:rsidR="00383694" w:rsidRPr="00825A3F">
        <w:rPr>
          <w:rFonts w:ascii="Arial" w:eastAsia="Times New Roman" w:hAnsi="Arial" w:cs="Arial"/>
          <w:b/>
        </w:rPr>
        <w:t>réf</w:t>
      </w:r>
      <w:r w:rsidR="0037130B" w:rsidRPr="00825A3F">
        <w:rPr>
          <w:rFonts w:ascii="Arial" w:eastAsia="Times New Roman" w:hAnsi="Arial" w:cs="Arial"/>
          <w:b/>
        </w:rPr>
        <w:t>érencé</w:t>
      </w:r>
      <w:proofErr w:type="gramEnd"/>
      <w:r w:rsidR="0037130B" w:rsidRPr="00825A3F">
        <w:rPr>
          <w:rFonts w:ascii="Arial" w:eastAsia="Times New Roman" w:hAnsi="Arial" w:cs="Arial"/>
          <w:b/>
        </w:rPr>
        <w:t xml:space="preserve"> DAF_</w:t>
      </w:r>
      <w:r w:rsidR="003F32B3" w:rsidRPr="00825A3F">
        <w:rPr>
          <w:rFonts w:ascii="Arial" w:eastAsia="Times New Roman" w:hAnsi="Arial" w:cs="Arial"/>
          <w:b/>
        </w:rPr>
        <w:t>2025_001405</w:t>
      </w:r>
      <w:r w:rsidRPr="00825A3F">
        <w:rPr>
          <w:rFonts w:ascii="Arial" w:eastAsia="Times New Roman" w:hAnsi="Arial" w:cs="Arial"/>
          <w:b/>
        </w:rPr>
        <w:t xml:space="preserve">. </w:t>
      </w:r>
    </w:p>
    <w:p w:rsidR="009740A2" w:rsidRPr="00825A3F" w:rsidRDefault="00A57691">
      <w:pPr>
        <w:pBdr>
          <w:top w:val="single" w:sz="4" w:space="0" w:color="000000"/>
          <w:left w:val="single" w:sz="4" w:space="0" w:color="000000"/>
          <w:bottom w:val="single" w:sz="4" w:space="0" w:color="000000"/>
          <w:right w:val="single" w:sz="4" w:space="0" w:color="000000"/>
        </w:pBdr>
        <w:spacing w:after="157" w:line="225" w:lineRule="auto"/>
        <w:ind w:left="175" w:hanging="10"/>
        <w:rPr>
          <w:rFonts w:ascii="Arial" w:hAnsi="Arial" w:cs="Arial"/>
        </w:rPr>
      </w:pPr>
      <w:r w:rsidRPr="00825A3F">
        <w:rPr>
          <w:rFonts w:ascii="Arial" w:eastAsia="Times New Roman" w:hAnsi="Arial" w:cs="Arial"/>
          <w:b/>
        </w:rPr>
        <w:t xml:space="preserve">L’étude des critères « Valeur technique » détaillés à l’article 6.3 du règlement de consultation est effectuée uniquement sur la base des éléments indiqués ci-après par le candidat. </w:t>
      </w:r>
    </w:p>
    <w:p w:rsidR="009740A2" w:rsidRDefault="00A57691">
      <w:pPr>
        <w:pBdr>
          <w:top w:val="single" w:sz="4" w:space="0" w:color="000000"/>
          <w:left w:val="single" w:sz="4" w:space="0" w:color="000000"/>
          <w:bottom w:val="single" w:sz="4" w:space="0" w:color="000000"/>
          <w:right w:val="single" w:sz="4" w:space="0" w:color="000000"/>
        </w:pBdr>
        <w:spacing w:after="93"/>
        <w:ind w:left="165"/>
        <w:rPr>
          <w:rFonts w:ascii="Arial" w:eastAsia="Times New Roman" w:hAnsi="Arial" w:cs="Arial"/>
          <w:b/>
          <w:color w:val="FF0000"/>
        </w:rPr>
      </w:pPr>
      <w:r w:rsidRPr="00825A3F">
        <w:rPr>
          <w:rFonts w:ascii="Arial" w:eastAsia="Times New Roman" w:hAnsi="Arial" w:cs="Arial"/>
          <w:b/>
          <w:color w:val="FF0000"/>
        </w:rPr>
        <w:t xml:space="preserve">La documentation qui serait éventuellement jointe par le candidat n’est en aucun cas contractuelle ; elle ne sera pas examinée. </w:t>
      </w:r>
    </w:p>
    <w:p w:rsidR="00BD691B" w:rsidRPr="00825A3F" w:rsidRDefault="00BD691B">
      <w:pPr>
        <w:pBdr>
          <w:top w:val="single" w:sz="4" w:space="0" w:color="000000"/>
          <w:left w:val="single" w:sz="4" w:space="0" w:color="000000"/>
          <w:bottom w:val="single" w:sz="4" w:space="0" w:color="000000"/>
          <w:right w:val="single" w:sz="4" w:space="0" w:color="000000"/>
        </w:pBdr>
        <w:spacing w:after="93"/>
        <w:ind w:left="165"/>
        <w:rPr>
          <w:rFonts w:ascii="Arial" w:hAnsi="Arial" w:cs="Arial"/>
        </w:rPr>
      </w:pPr>
      <w:r>
        <w:rPr>
          <w:rFonts w:ascii="Arial" w:eastAsia="Times New Roman" w:hAnsi="Arial" w:cs="Arial"/>
          <w:b/>
          <w:color w:val="FF0000"/>
        </w:rPr>
        <w:t>Le mémoire technique ne doit pas dépasser 15 pages. Toute page</w:t>
      </w:r>
      <w:r w:rsidR="00B92AF3">
        <w:rPr>
          <w:rFonts w:ascii="Arial" w:eastAsia="Times New Roman" w:hAnsi="Arial" w:cs="Arial"/>
          <w:b/>
          <w:color w:val="FF0000"/>
        </w:rPr>
        <w:t xml:space="preserve"> au-delà de ce maximum ne sera</w:t>
      </w:r>
      <w:r>
        <w:rPr>
          <w:rFonts w:ascii="Arial" w:eastAsia="Times New Roman" w:hAnsi="Arial" w:cs="Arial"/>
          <w:b/>
          <w:color w:val="FF0000"/>
        </w:rPr>
        <w:t xml:space="preserve"> pas consultée</w:t>
      </w:r>
      <w:bookmarkStart w:id="0" w:name="_GoBack"/>
      <w:bookmarkEnd w:id="0"/>
      <w:r>
        <w:rPr>
          <w:rFonts w:ascii="Arial" w:eastAsia="Times New Roman" w:hAnsi="Arial" w:cs="Arial"/>
          <w:b/>
          <w:color w:val="FF0000"/>
        </w:rPr>
        <w:t>.</w:t>
      </w:r>
    </w:p>
    <w:p w:rsidR="009740A2" w:rsidRPr="00825A3F" w:rsidRDefault="00A57691">
      <w:pPr>
        <w:spacing w:after="0"/>
        <w:ind w:left="180"/>
        <w:rPr>
          <w:rFonts w:ascii="Arial" w:eastAsia="Times New Roman" w:hAnsi="Arial" w:cs="Arial"/>
        </w:rPr>
      </w:pPr>
      <w:r w:rsidRPr="00825A3F">
        <w:rPr>
          <w:rFonts w:ascii="Arial" w:eastAsia="Times New Roman" w:hAnsi="Arial" w:cs="Arial"/>
        </w:rPr>
        <w:t xml:space="preserve"> </w:t>
      </w:r>
    </w:p>
    <w:p w:rsidR="00583301" w:rsidRPr="00825A3F" w:rsidRDefault="00583301">
      <w:pPr>
        <w:spacing w:after="0"/>
        <w:ind w:left="180"/>
        <w:rPr>
          <w:rFonts w:ascii="Arial" w:eastAsia="Times New Roman" w:hAnsi="Arial" w:cs="Arial"/>
          <w:b/>
          <w:u w:val="single" w:color="000000"/>
        </w:rPr>
      </w:pPr>
      <w:r w:rsidRPr="00825A3F">
        <w:rPr>
          <w:rFonts w:ascii="Arial" w:eastAsia="Times New Roman" w:hAnsi="Arial" w:cs="Arial"/>
          <w:b/>
          <w:u w:val="single" w:color="000000"/>
        </w:rPr>
        <w:t>Critère technique (15 points)</w:t>
      </w:r>
      <w:r w:rsidR="00825A3F" w:rsidRPr="00825A3F">
        <w:rPr>
          <w:rFonts w:ascii="Arial" w:eastAsia="Times New Roman" w:hAnsi="Arial" w:cs="Arial"/>
          <w:b/>
          <w:u w:val="single" w:color="000000"/>
        </w:rPr>
        <w:t xml:space="preserve"> </w:t>
      </w:r>
    </w:p>
    <w:p w:rsidR="00825A3F" w:rsidRPr="00825A3F" w:rsidRDefault="00825A3F">
      <w:pPr>
        <w:spacing w:after="0"/>
        <w:ind w:left="180"/>
        <w:rPr>
          <w:rFonts w:ascii="Arial" w:eastAsia="Times New Roman" w:hAnsi="Arial" w:cs="Arial"/>
          <w:b/>
          <w:u w:val="single" w:color="000000"/>
        </w:rPr>
      </w:pPr>
      <w:r w:rsidRPr="00825A3F">
        <w:rPr>
          <w:rFonts w:ascii="Arial" w:hAnsi="Arial" w:cs="Arial"/>
        </w:rPr>
        <w:t>Présentation de la démarche du candidat (détail de l'organisation, absences, moyens humains et techniques, méthodes, compréhension des exigences) et modalités de mise en œuvre du système de suivi et de contrôle des prestations</w:t>
      </w:r>
    </w:p>
    <w:p w:rsidR="0037130B" w:rsidRPr="00825A3F" w:rsidRDefault="0037130B" w:rsidP="00A874AF">
      <w:pPr>
        <w:spacing w:after="25"/>
        <w:ind w:left="180"/>
        <w:rPr>
          <w:rFonts w:ascii="Arial" w:eastAsia="Times New Roman" w:hAnsi="Arial" w:cs="Arial"/>
        </w:rPr>
      </w:pPr>
    </w:p>
    <w:p w:rsidR="00A874AF" w:rsidRPr="00825A3F" w:rsidRDefault="00A874AF" w:rsidP="00825A3F">
      <w:pPr>
        <w:spacing w:line="240" w:lineRule="exact"/>
        <w:ind w:left="180"/>
        <w:jc w:val="both"/>
        <w:rPr>
          <w:rFonts w:ascii="Arial" w:hAnsi="Arial" w:cs="Arial"/>
        </w:rPr>
      </w:pPr>
      <w:r w:rsidRPr="00825A3F">
        <w:rPr>
          <w:rFonts w:ascii="Arial" w:hAnsi="Arial" w:cs="Arial"/>
        </w:rPr>
        <w:t>Le candidat détaille sa méthode d’organisation qui témoigne de ce qu’il a pris en considération les spécificités du Ministère des Armées (sites épars, exigences sécuritaires, nombreux bénéficiaires, etc.) et qui démontre une capacité de pilotage cohérente et efficiente de l’ensemble des sites.</w:t>
      </w:r>
    </w:p>
    <w:p w:rsidR="00A874AF" w:rsidRPr="00825A3F" w:rsidRDefault="00A874AF" w:rsidP="00825A3F">
      <w:pPr>
        <w:spacing w:line="240" w:lineRule="exact"/>
        <w:ind w:left="180"/>
        <w:jc w:val="both"/>
        <w:rPr>
          <w:rFonts w:ascii="Arial" w:hAnsi="Arial" w:cs="Arial"/>
        </w:rPr>
      </w:pPr>
      <w:r w:rsidRPr="00825A3F">
        <w:rPr>
          <w:rFonts w:ascii="Arial" w:hAnsi="Arial" w:cs="Arial"/>
        </w:rPr>
        <w:t>Ce document valant plan de management de la prestation sera contractuel. En conséquence, il doit être complet et exhaustif en détaillant sur 15 pages maximum les différents points suivants :</w:t>
      </w:r>
    </w:p>
    <w:p w:rsidR="00A874AF" w:rsidRPr="00825A3F" w:rsidRDefault="00825A3F" w:rsidP="00A874AF">
      <w:pPr>
        <w:numPr>
          <w:ilvl w:val="0"/>
          <w:numId w:val="5"/>
        </w:numPr>
        <w:spacing w:after="0" w:line="240" w:lineRule="exact"/>
        <w:jc w:val="both"/>
        <w:rPr>
          <w:rFonts w:ascii="Arial" w:hAnsi="Arial" w:cs="Arial"/>
        </w:rPr>
      </w:pPr>
      <w:r w:rsidRPr="00825A3F">
        <w:rPr>
          <w:rFonts w:ascii="Arial" w:hAnsi="Arial" w:cs="Arial"/>
        </w:rPr>
        <w:t>Organisation</w:t>
      </w:r>
      <w:r w:rsidR="00A874AF" w:rsidRPr="00825A3F">
        <w:rPr>
          <w:rFonts w:ascii="Arial" w:hAnsi="Arial" w:cs="Arial"/>
        </w:rPr>
        <w:t xml:space="preserve"> détaillée pour assurer la prestation (organigramme, plannings, temps dédié aux tâches attendues, permanences téléphoniques, etc.) que le candidat envisage de mettre en place afin de répondre aux exigences du CCTP.</w:t>
      </w:r>
    </w:p>
    <w:p w:rsidR="00A874AF" w:rsidRPr="00825A3F" w:rsidRDefault="00825A3F" w:rsidP="00A874AF">
      <w:pPr>
        <w:numPr>
          <w:ilvl w:val="0"/>
          <w:numId w:val="5"/>
        </w:numPr>
        <w:spacing w:after="0" w:line="240" w:lineRule="exact"/>
        <w:jc w:val="both"/>
        <w:rPr>
          <w:rFonts w:ascii="Arial" w:hAnsi="Arial" w:cs="Arial"/>
        </w:rPr>
      </w:pPr>
      <w:r w:rsidRPr="00825A3F">
        <w:rPr>
          <w:rFonts w:ascii="Arial" w:hAnsi="Arial" w:cs="Arial"/>
        </w:rPr>
        <w:t>Moyens</w:t>
      </w:r>
      <w:r w:rsidR="00A874AF" w:rsidRPr="00825A3F">
        <w:rPr>
          <w:rFonts w:ascii="Arial" w:hAnsi="Arial" w:cs="Arial"/>
        </w:rPr>
        <w:t xml:space="preserve"> humains, techniques et matériels que le candidat envisage de mettre en place afin de répondre aux exigences du CCTP.</w:t>
      </w:r>
    </w:p>
    <w:p w:rsidR="00A874AF" w:rsidRPr="00825A3F" w:rsidRDefault="00825A3F" w:rsidP="00A874AF">
      <w:pPr>
        <w:numPr>
          <w:ilvl w:val="0"/>
          <w:numId w:val="5"/>
        </w:numPr>
        <w:spacing w:after="0" w:line="240" w:lineRule="exact"/>
        <w:jc w:val="both"/>
        <w:rPr>
          <w:rFonts w:ascii="Arial" w:hAnsi="Arial" w:cs="Arial"/>
        </w:rPr>
      </w:pPr>
      <w:r w:rsidRPr="00825A3F">
        <w:rPr>
          <w:rFonts w:ascii="Arial" w:hAnsi="Arial" w:cs="Arial"/>
        </w:rPr>
        <w:t>Modalités</w:t>
      </w:r>
      <w:r w:rsidR="00A874AF" w:rsidRPr="00825A3F">
        <w:rPr>
          <w:rFonts w:ascii="Arial" w:hAnsi="Arial" w:cs="Arial"/>
        </w:rPr>
        <w:t xml:space="preserve"> de suivi et de contrôle des prestations effectués par le personnel d’encadrement : le candidat détaillera sa démarche de gestion de crise, le processus qualité envisagé (mesures d’autocontrôle, gestion des actions correctives, modalités de mesure de la satisfaction du client, etc.) ;</w:t>
      </w:r>
    </w:p>
    <w:p w:rsidR="00A874AF" w:rsidRPr="00825A3F" w:rsidRDefault="00825A3F" w:rsidP="00A874AF">
      <w:pPr>
        <w:numPr>
          <w:ilvl w:val="0"/>
          <w:numId w:val="5"/>
        </w:numPr>
        <w:spacing w:after="0" w:line="240" w:lineRule="exact"/>
        <w:jc w:val="both"/>
        <w:rPr>
          <w:rFonts w:ascii="Arial" w:hAnsi="Arial" w:cs="Arial"/>
        </w:rPr>
      </w:pPr>
      <w:r w:rsidRPr="00825A3F">
        <w:rPr>
          <w:rFonts w:ascii="Arial" w:hAnsi="Arial" w:cs="Arial"/>
        </w:rPr>
        <w:t>Organisation</w:t>
      </w:r>
      <w:r w:rsidR="00A874AF" w:rsidRPr="00825A3F">
        <w:rPr>
          <w:rFonts w:ascii="Arial" w:hAnsi="Arial" w:cs="Arial"/>
        </w:rPr>
        <w:t xml:space="preserve"> détaillée pour assurer les prestations occasionnelles</w:t>
      </w:r>
    </w:p>
    <w:p w:rsidR="00825A3F" w:rsidRDefault="00825A3F">
      <w:pPr>
        <w:rPr>
          <w:rFonts w:ascii="Arial" w:hAnsi="Arial" w:cs="Arial"/>
          <w:bCs/>
          <w:u w:val="single"/>
        </w:rPr>
      </w:pPr>
      <w:r>
        <w:rPr>
          <w:rFonts w:ascii="Arial" w:hAnsi="Arial" w:cs="Arial"/>
          <w:bCs/>
          <w:u w:val="single"/>
        </w:rPr>
        <w:br w:type="page"/>
      </w:r>
    </w:p>
    <w:p w:rsidR="00A874AF" w:rsidRPr="00825A3F" w:rsidRDefault="00A874AF" w:rsidP="00A874AF">
      <w:pPr>
        <w:jc w:val="center"/>
        <w:rPr>
          <w:rFonts w:ascii="Arial" w:hAnsi="Arial" w:cs="Arial"/>
          <w:bCs/>
          <w:u w:val="single"/>
        </w:rPr>
      </w:pPr>
    </w:p>
    <w:p w:rsidR="00583301" w:rsidRPr="00825A3F" w:rsidRDefault="00583301" w:rsidP="00583301">
      <w:pPr>
        <w:spacing w:after="0"/>
        <w:ind w:left="180"/>
        <w:rPr>
          <w:rFonts w:ascii="Arial" w:eastAsia="Times New Roman" w:hAnsi="Arial" w:cs="Arial"/>
          <w:b/>
          <w:u w:val="single" w:color="000000"/>
        </w:rPr>
      </w:pPr>
      <w:r w:rsidRPr="00825A3F">
        <w:rPr>
          <w:rFonts w:ascii="Arial" w:eastAsia="Times New Roman" w:hAnsi="Arial" w:cs="Arial"/>
          <w:b/>
          <w:u w:val="single" w:color="000000"/>
        </w:rPr>
        <w:t>Critère développement durable (10 points)</w:t>
      </w:r>
    </w:p>
    <w:p w:rsidR="00D148A4" w:rsidRPr="00825A3F" w:rsidRDefault="00D148A4">
      <w:pPr>
        <w:spacing w:after="0"/>
        <w:rPr>
          <w:rFonts w:ascii="Arial" w:hAnsi="Arial" w:cs="Arial"/>
        </w:rPr>
      </w:pPr>
    </w:p>
    <w:p w:rsidR="00A874AF" w:rsidRPr="00825A3F" w:rsidRDefault="00A874AF" w:rsidP="00A874AF">
      <w:pPr>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gridCol w:w="4502"/>
      </w:tblGrid>
      <w:tr w:rsidR="00A874AF" w:rsidRPr="00825A3F" w:rsidTr="0078500D">
        <w:trPr>
          <w:trHeight w:val="424"/>
        </w:trPr>
        <w:tc>
          <w:tcPr>
            <w:tcW w:w="10485" w:type="dxa"/>
            <w:shd w:val="clear" w:color="auto" w:fill="D9D9D9"/>
            <w:vAlign w:val="center"/>
          </w:tcPr>
          <w:p w:rsidR="00A874AF" w:rsidRPr="00825A3F" w:rsidRDefault="00A874AF" w:rsidP="0078500D">
            <w:pPr>
              <w:jc w:val="center"/>
              <w:rPr>
                <w:rFonts w:ascii="Arial" w:hAnsi="Arial" w:cs="Arial"/>
              </w:rPr>
            </w:pPr>
            <w:r w:rsidRPr="00825A3F">
              <w:rPr>
                <w:rFonts w:ascii="Arial" w:hAnsi="Arial" w:cs="Arial"/>
                <w:b/>
              </w:rPr>
              <w:t>Descriptif des attendus</w:t>
            </w:r>
          </w:p>
        </w:tc>
        <w:tc>
          <w:tcPr>
            <w:tcW w:w="4502" w:type="dxa"/>
            <w:shd w:val="clear" w:color="auto" w:fill="D9D9D9"/>
            <w:vAlign w:val="center"/>
          </w:tcPr>
          <w:p w:rsidR="00A874AF" w:rsidRPr="00825A3F" w:rsidRDefault="00A874AF" w:rsidP="0078500D">
            <w:pPr>
              <w:jc w:val="center"/>
              <w:rPr>
                <w:rFonts w:ascii="Arial" w:hAnsi="Arial" w:cs="Arial"/>
              </w:rPr>
            </w:pPr>
            <w:r w:rsidRPr="00825A3F">
              <w:rPr>
                <w:rFonts w:ascii="Arial" w:hAnsi="Arial" w:cs="Arial"/>
                <w:b/>
              </w:rPr>
              <w:t>Réponse du candidat</w:t>
            </w:r>
          </w:p>
        </w:tc>
      </w:tr>
      <w:tr w:rsidR="00A874AF" w:rsidRPr="00825A3F" w:rsidTr="0078500D">
        <w:trPr>
          <w:trHeight w:val="2438"/>
        </w:trPr>
        <w:tc>
          <w:tcPr>
            <w:tcW w:w="10485" w:type="dxa"/>
            <w:shd w:val="clear" w:color="auto" w:fill="auto"/>
          </w:tcPr>
          <w:p w:rsidR="00A874AF" w:rsidRPr="00825A3F" w:rsidRDefault="00A874AF" w:rsidP="0078500D">
            <w:pPr>
              <w:rPr>
                <w:rFonts w:ascii="Arial" w:hAnsi="Arial" w:cs="Arial"/>
                <w:b/>
              </w:rPr>
            </w:pPr>
            <w:r w:rsidRPr="00825A3F">
              <w:rPr>
                <w:rFonts w:ascii="Arial" w:hAnsi="Arial" w:cs="Arial"/>
                <w:b/>
              </w:rPr>
              <w:t>Le candidat indique le pourcentage de machines portatives électriques ou à énergie autre que fossile utilisées dans le cadre de l’exécution du marché</w:t>
            </w:r>
            <w:r w:rsidRPr="00825A3F">
              <w:rPr>
                <w:rFonts w:ascii="Arial" w:hAnsi="Arial" w:cs="Arial"/>
              </w:rPr>
              <w:t xml:space="preserve">. </w:t>
            </w:r>
            <w:r w:rsidR="00866B29">
              <w:rPr>
                <w:rFonts w:ascii="Arial" w:hAnsi="Arial" w:cs="Arial"/>
                <w:color w:val="FF0000"/>
              </w:rPr>
              <w:t>(2</w:t>
            </w:r>
            <w:r w:rsidRPr="00825A3F">
              <w:rPr>
                <w:rFonts w:ascii="Arial" w:hAnsi="Arial" w:cs="Arial"/>
                <w:color w:val="FF0000"/>
              </w:rPr>
              <w:t xml:space="preserve"> points)</w:t>
            </w:r>
          </w:p>
          <w:p w:rsidR="00A874AF" w:rsidRPr="00825A3F" w:rsidRDefault="00A874AF" w:rsidP="0078500D">
            <w:pPr>
              <w:rPr>
                <w:rFonts w:ascii="Arial" w:hAnsi="Arial" w:cs="Arial"/>
              </w:rPr>
            </w:pPr>
            <w:r w:rsidRPr="00825A3F">
              <w:rPr>
                <w:rFonts w:ascii="Arial" w:hAnsi="Arial" w:cs="Arial"/>
              </w:rPr>
              <w:t xml:space="preserve">Précision : ce taux correspond aux </w:t>
            </w:r>
            <w:r w:rsidRPr="00825A3F">
              <w:rPr>
                <w:rFonts w:ascii="Arial" w:hAnsi="Arial" w:cs="Arial"/>
                <w:u w:val="single"/>
              </w:rPr>
              <w:t>matériels utilisés dans le cadre du marché</w:t>
            </w:r>
            <w:r w:rsidRPr="00825A3F">
              <w:rPr>
                <w:rFonts w:ascii="Arial" w:hAnsi="Arial" w:cs="Arial"/>
              </w:rPr>
              <w:t xml:space="preserve"> et non aux matériels détenus par la société.</w:t>
            </w:r>
          </w:p>
          <w:p w:rsidR="00A874AF" w:rsidRPr="00825A3F" w:rsidRDefault="00A874AF" w:rsidP="0078500D">
            <w:pPr>
              <w:rPr>
                <w:rFonts w:ascii="Arial" w:hAnsi="Arial" w:cs="Arial"/>
              </w:rPr>
            </w:pPr>
          </w:p>
          <w:p w:rsidR="00A874AF" w:rsidRPr="00825A3F" w:rsidRDefault="00A874AF" w:rsidP="0078500D">
            <w:pPr>
              <w:rPr>
                <w:rFonts w:ascii="Arial" w:hAnsi="Arial" w:cs="Arial"/>
              </w:rPr>
            </w:pPr>
            <w:r w:rsidRPr="00825A3F">
              <w:rPr>
                <w:rFonts w:ascii="Arial" w:hAnsi="Arial" w:cs="Arial"/>
              </w:rPr>
              <w:t xml:space="preserve">Le candidat doit </w:t>
            </w:r>
            <w:r w:rsidRPr="00825A3F">
              <w:rPr>
                <w:rFonts w:ascii="Arial" w:hAnsi="Arial" w:cs="Arial"/>
                <w:u w:val="single"/>
              </w:rPr>
              <w:t>fournir la liste des machines utilisées</w:t>
            </w:r>
            <w:r w:rsidRPr="00825A3F">
              <w:rPr>
                <w:rFonts w:ascii="Arial" w:hAnsi="Arial" w:cs="Arial"/>
              </w:rPr>
              <w:t xml:space="preserve"> pour l’exécution du marché. Attention : si la liste n'est pas fournie le taux n’est pas pris en compte et la note de </w:t>
            </w:r>
            <w:r w:rsidR="00866B29">
              <w:rPr>
                <w:rFonts w:ascii="Arial" w:hAnsi="Arial" w:cs="Arial"/>
                <w:color w:val="FF0000"/>
              </w:rPr>
              <w:t>0/2</w:t>
            </w:r>
            <w:r w:rsidRPr="00825A3F">
              <w:rPr>
                <w:rFonts w:ascii="Arial" w:hAnsi="Arial" w:cs="Arial"/>
              </w:rPr>
              <w:t xml:space="preserve"> est attribuée.</w:t>
            </w:r>
          </w:p>
          <w:p w:rsidR="00A874AF" w:rsidRPr="00825A3F" w:rsidRDefault="00A874AF" w:rsidP="0078500D">
            <w:pPr>
              <w:rPr>
                <w:rFonts w:ascii="Arial" w:hAnsi="Arial" w:cs="Arial"/>
                <w:b/>
                <w:u w:val="single"/>
              </w:rPr>
            </w:pPr>
          </w:p>
          <w:p w:rsidR="00A874AF" w:rsidRPr="00825A3F" w:rsidRDefault="00A874AF" w:rsidP="00825A3F">
            <w:pPr>
              <w:spacing w:line="240" w:lineRule="exact"/>
              <w:rPr>
                <w:rFonts w:ascii="Arial" w:hAnsi="Arial" w:cs="Arial"/>
              </w:rPr>
            </w:pPr>
            <w:r w:rsidRPr="00825A3F">
              <w:rPr>
                <w:rFonts w:ascii="Arial" w:hAnsi="Arial" w:cs="Arial"/>
              </w:rPr>
              <w:t>Le taux annoncé doit pouvoir être vérifié grâce à la liste des matériels fournis.</w:t>
            </w:r>
          </w:p>
        </w:tc>
        <w:tc>
          <w:tcPr>
            <w:tcW w:w="4502" w:type="dxa"/>
            <w:shd w:val="clear" w:color="auto" w:fill="auto"/>
            <w:vAlign w:val="center"/>
          </w:tcPr>
          <w:p w:rsidR="00A874AF" w:rsidRPr="00825A3F" w:rsidRDefault="00A874AF" w:rsidP="0078500D">
            <w:pPr>
              <w:jc w:val="center"/>
              <w:rPr>
                <w:rFonts w:ascii="Arial" w:hAnsi="Arial" w:cs="Arial"/>
                <w:i/>
              </w:rPr>
            </w:pPr>
            <w:r w:rsidRPr="00825A3F">
              <w:rPr>
                <w:rFonts w:ascii="Arial" w:hAnsi="Arial" w:cs="Arial"/>
                <w:i/>
              </w:rPr>
              <w:t>…%</w:t>
            </w:r>
          </w:p>
        </w:tc>
      </w:tr>
      <w:tr w:rsidR="00A874AF" w:rsidRPr="00825A3F" w:rsidTr="00825A3F">
        <w:trPr>
          <w:trHeight w:val="1551"/>
        </w:trPr>
        <w:tc>
          <w:tcPr>
            <w:tcW w:w="10485" w:type="dxa"/>
            <w:shd w:val="clear" w:color="auto" w:fill="auto"/>
          </w:tcPr>
          <w:p w:rsidR="00A874AF" w:rsidRPr="00825A3F" w:rsidRDefault="00A874AF" w:rsidP="0078500D">
            <w:pPr>
              <w:rPr>
                <w:rFonts w:ascii="Arial" w:hAnsi="Arial" w:cs="Arial"/>
                <w:b/>
              </w:rPr>
            </w:pPr>
            <w:r w:rsidRPr="00825A3F">
              <w:rPr>
                <w:rFonts w:ascii="Arial" w:hAnsi="Arial" w:cs="Arial"/>
                <w:b/>
              </w:rPr>
              <w:t>Le candidat indique le pourcentage de véhicules "propres" et "dits propres" utilisés dans le cadre de l’exécution du marché</w:t>
            </w:r>
            <w:r w:rsidRPr="00825A3F">
              <w:rPr>
                <w:rFonts w:ascii="Arial" w:hAnsi="Arial" w:cs="Arial"/>
              </w:rPr>
              <w:t xml:space="preserve">. </w:t>
            </w:r>
            <w:r w:rsidR="00866B29">
              <w:rPr>
                <w:rFonts w:ascii="Arial" w:hAnsi="Arial" w:cs="Arial"/>
                <w:color w:val="FF0000"/>
              </w:rPr>
              <w:t>(2</w:t>
            </w:r>
            <w:r w:rsidRPr="00825A3F">
              <w:rPr>
                <w:rFonts w:ascii="Arial" w:hAnsi="Arial" w:cs="Arial"/>
                <w:color w:val="FF0000"/>
              </w:rPr>
              <w:t xml:space="preserve"> points)</w:t>
            </w:r>
          </w:p>
          <w:p w:rsidR="00A874AF" w:rsidRPr="00825A3F" w:rsidRDefault="00A874AF" w:rsidP="0078500D">
            <w:pPr>
              <w:rPr>
                <w:rFonts w:ascii="Arial" w:hAnsi="Arial" w:cs="Arial"/>
                <w:i/>
              </w:rPr>
            </w:pPr>
            <w:r w:rsidRPr="00825A3F">
              <w:rPr>
                <w:rFonts w:ascii="Arial" w:hAnsi="Arial" w:cs="Arial"/>
                <w:i/>
              </w:rPr>
              <w:t xml:space="preserve">Est considéré comme véhicule tout engin porteur d'une carte grise; les véhicules pris en compte peuvent fonctionner à l’éthanol E85, au GPL, les voitures hybrides simples ou rechargeables, les voitures à l’énergie électrique ou à l’hydrogène. </w:t>
            </w:r>
          </w:p>
          <w:p w:rsidR="00A874AF" w:rsidRPr="00825A3F" w:rsidRDefault="00A874AF" w:rsidP="0078500D">
            <w:pPr>
              <w:rPr>
                <w:rFonts w:ascii="Arial" w:hAnsi="Arial" w:cs="Arial"/>
              </w:rPr>
            </w:pPr>
            <w:r w:rsidRPr="00825A3F">
              <w:rPr>
                <w:rFonts w:ascii="Arial" w:hAnsi="Arial" w:cs="Arial"/>
              </w:rPr>
              <w:t xml:space="preserve">Précision : ce taux correspond aux </w:t>
            </w:r>
            <w:r w:rsidRPr="00825A3F">
              <w:rPr>
                <w:rFonts w:ascii="Arial" w:hAnsi="Arial" w:cs="Arial"/>
                <w:u w:val="single"/>
              </w:rPr>
              <w:t>véhicules utilisés dans le cadre du marché</w:t>
            </w:r>
            <w:r w:rsidRPr="00825A3F">
              <w:rPr>
                <w:rFonts w:ascii="Arial" w:hAnsi="Arial" w:cs="Arial"/>
              </w:rPr>
              <w:t xml:space="preserve"> et non aux véhicules détenus par la société.</w:t>
            </w:r>
          </w:p>
          <w:p w:rsidR="00A874AF" w:rsidRPr="00825A3F" w:rsidRDefault="00A874AF" w:rsidP="0078500D">
            <w:pPr>
              <w:rPr>
                <w:rFonts w:ascii="Arial" w:hAnsi="Arial" w:cs="Arial"/>
              </w:rPr>
            </w:pPr>
          </w:p>
          <w:p w:rsidR="00A874AF" w:rsidRPr="00825A3F" w:rsidRDefault="00A874AF" w:rsidP="0078500D">
            <w:pPr>
              <w:rPr>
                <w:rFonts w:ascii="Arial" w:hAnsi="Arial" w:cs="Arial"/>
              </w:rPr>
            </w:pPr>
            <w:r w:rsidRPr="00825A3F">
              <w:rPr>
                <w:rFonts w:ascii="Arial" w:hAnsi="Arial" w:cs="Arial"/>
              </w:rPr>
              <w:t xml:space="preserve">Le candidat doit </w:t>
            </w:r>
            <w:r w:rsidRPr="00825A3F">
              <w:rPr>
                <w:rFonts w:ascii="Arial" w:hAnsi="Arial" w:cs="Arial"/>
                <w:u w:val="single"/>
              </w:rPr>
              <w:t>fournir la liste des véhicules utilisés</w:t>
            </w:r>
            <w:r w:rsidRPr="00825A3F">
              <w:rPr>
                <w:rFonts w:ascii="Arial" w:hAnsi="Arial" w:cs="Arial"/>
              </w:rPr>
              <w:t xml:space="preserve"> pour l’exécution du marché. Attention : si la liste n'est pas fournie le taux n’est pas pris en compte et la note de </w:t>
            </w:r>
            <w:r w:rsidRPr="00825A3F">
              <w:rPr>
                <w:rFonts w:ascii="Arial" w:hAnsi="Arial" w:cs="Arial"/>
                <w:color w:val="FF0000"/>
              </w:rPr>
              <w:t>0/</w:t>
            </w:r>
            <w:r w:rsidR="00866B29">
              <w:rPr>
                <w:rFonts w:ascii="Arial" w:hAnsi="Arial" w:cs="Arial"/>
                <w:color w:val="FF0000"/>
              </w:rPr>
              <w:t>2</w:t>
            </w:r>
            <w:r w:rsidRPr="00825A3F">
              <w:rPr>
                <w:rFonts w:ascii="Arial" w:hAnsi="Arial" w:cs="Arial"/>
              </w:rPr>
              <w:t xml:space="preserve"> est attribuée. </w:t>
            </w:r>
          </w:p>
          <w:p w:rsidR="00A874AF" w:rsidRPr="00825A3F" w:rsidRDefault="00A874AF" w:rsidP="00825A3F">
            <w:pPr>
              <w:spacing w:line="240" w:lineRule="exact"/>
              <w:rPr>
                <w:rFonts w:ascii="Arial" w:hAnsi="Arial" w:cs="Arial"/>
              </w:rPr>
            </w:pPr>
            <w:r w:rsidRPr="00825A3F">
              <w:rPr>
                <w:rFonts w:ascii="Arial" w:hAnsi="Arial" w:cs="Arial"/>
              </w:rPr>
              <w:t>Le taux annoncé doit pouvoir être vérifié grâce à la liste des véhicules fournis.</w:t>
            </w:r>
          </w:p>
        </w:tc>
        <w:tc>
          <w:tcPr>
            <w:tcW w:w="4502" w:type="dxa"/>
            <w:shd w:val="clear" w:color="auto" w:fill="auto"/>
            <w:vAlign w:val="center"/>
          </w:tcPr>
          <w:p w:rsidR="00A874AF" w:rsidRPr="00825A3F" w:rsidRDefault="00A874AF" w:rsidP="0078500D">
            <w:pPr>
              <w:jc w:val="center"/>
              <w:rPr>
                <w:rFonts w:ascii="Arial" w:hAnsi="Arial" w:cs="Arial"/>
                <w:i/>
              </w:rPr>
            </w:pPr>
            <w:r w:rsidRPr="00825A3F">
              <w:rPr>
                <w:rFonts w:ascii="Arial" w:hAnsi="Arial" w:cs="Arial"/>
                <w:i/>
              </w:rPr>
              <w:t>…%</w:t>
            </w:r>
          </w:p>
        </w:tc>
      </w:tr>
    </w:tbl>
    <w:p w:rsidR="00A874AF" w:rsidRPr="00825A3F" w:rsidRDefault="00A874AF" w:rsidP="00A874AF">
      <w:pPr>
        <w:jc w:val="both"/>
        <w:rPr>
          <w:rFonts w:ascii="Arial" w:hAnsi="Arial" w:cs="Arial"/>
        </w:rPr>
      </w:pPr>
    </w:p>
    <w:p w:rsidR="00825A3F" w:rsidRPr="00825A3F" w:rsidRDefault="00825A3F" w:rsidP="00825A3F">
      <w:pPr>
        <w:pStyle w:val="Titre2"/>
        <w:spacing w:after="1"/>
        <w:ind w:left="175"/>
        <w:rPr>
          <w:rFonts w:ascii="Arial" w:hAnsi="Arial" w:cs="Arial"/>
          <w:sz w:val="22"/>
        </w:rPr>
      </w:pPr>
      <w:r w:rsidRPr="00825A3F">
        <w:rPr>
          <w:rFonts w:ascii="Arial" w:hAnsi="Arial" w:cs="Arial"/>
          <w:color w:val="000000"/>
          <w:sz w:val="22"/>
          <w:u w:val="single" w:color="000000"/>
        </w:rPr>
        <w:lastRenderedPageBreak/>
        <w:t>2– TAUX D’UTILISATION DE PRODUITS LABEL</w:t>
      </w:r>
      <w:r w:rsidR="00866B29">
        <w:rPr>
          <w:rFonts w:ascii="Arial" w:hAnsi="Arial" w:cs="Arial"/>
          <w:color w:val="000000"/>
          <w:sz w:val="22"/>
          <w:u w:val="single" w:color="000000"/>
        </w:rPr>
        <w:t>L</w:t>
      </w:r>
      <w:r w:rsidRPr="00825A3F">
        <w:rPr>
          <w:rFonts w:ascii="Arial" w:hAnsi="Arial" w:cs="Arial"/>
          <w:color w:val="000000"/>
          <w:sz w:val="22"/>
          <w:u w:val="single" w:color="000000"/>
        </w:rPr>
        <w:t>ISES OU EQUIVALENT (2 POINTS)</w:t>
      </w:r>
    </w:p>
    <w:p w:rsidR="00825A3F" w:rsidRPr="00825A3F" w:rsidRDefault="00825A3F" w:rsidP="00825A3F">
      <w:pPr>
        <w:spacing w:after="0"/>
        <w:ind w:left="180"/>
        <w:rPr>
          <w:rFonts w:ascii="Arial" w:hAnsi="Arial" w:cs="Arial"/>
        </w:rPr>
      </w:pPr>
      <w:r w:rsidRPr="00825A3F">
        <w:rPr>
          <w:rFonts w:ascii="Arial" w:eastAsia="Times New Roman" w:hAnsi="Arial" w:cs="Arial"/>
          <w:b/>
        </w:rPr>
        <w:t xml:space="preserve"> </w:t>
      </w:r>
    </w:p>
    <w:p w:rsidR="00825A3F" w:rsidRPr="00825A3F" w:rsidRDefault="00825A3F" w:rsidP="00825A3F">
      <w:pPr>
        <w:numPr>
          <w:ilvl w:val="0"/>
          <w:numId w:val="2"/>
        </w:numPr>
        <w:spacing w:after="15" w:line="248" w:lineRule="auto"/>
        <w:ind w:hanging="264"/>
        <w:rPr>
          <w:rFonts w:ascii="Arial" w:hAnsi="Arial" w:cs="Arial"/>
        </w:rPr>
      </w:pPr>
      <w:r w:rsidRPr="00825A3F">
        <w:rPr>
          <w:rFonts w:ascii="Arial" w:eastAsia="Times New Roman" w:hAnsi="Arial" w:cs="Arial"/>
        </w:rPr>
        <w:t>Taux en % :</w:t>
      </w:r>
    </w:p>
    <w:p w:rsidR="00825A3F" w:rsidRPr="00825A3F" w:rsidRDefault="00825A3F" w:rsidP="00825A3F">
      <w:pPr>
        <w:spacing w:after="0" w:line="240" w:lineRule="auto"/>
        <w:ind w:left="181"/>
        <w:rPr>
          <w:rFonts w:ascii="Arial" w:eastAsia="Times New Roman" w:hAnsi="Arial" w:cs="Arial"/>
        </w:rPr>
      </w:pPr>
      <w:r w:rsidRPr="00825A3F">
        <w:rPr>
          <w:rFonts w:ascii="Arial" w:eastAsia="Times New Roman" w:hAnsi="Arial" w:cs="Arial"/>
        </w:rPr>
        <w:t xml:space="preserve"> </w:t>
      </w:r>
    </w:p>
    <w:p w:rsidR="00825A3F" w:rsidRPr="00825A3F" w:rsidRDefault="00825A3F" w:rsidP="00825A3F">
      <w:pPr>
        <w:spacing w:after="0" w:line="240" w:lineRule="auto"/>
        <w:ind w:left="181"/>
        <w:rPr>
          <w:rFonts w:ascii="Arial" w:eastAsia="Times New Roman" w:hAnsi="Arial" w:cs="Arial"/>
        </w:rPr>
      </w:pPr>
      <w:r w:rsidRPr="00825A3F">
        <w:rPr>
          <w:rFonts w:ascii="Arial" w:eastAsia="Times New Roman" w:hAnsi="Arial" w:cs="Arial"/>
        </w:rPr>
        <w:t>……………………………………………………………………………………………………………………………………………………………………………………………………………………………………………………………………………………………………………………………………………………………………</w:t>
      </w:r>
    </w:p>
    <w:p w:rsidR="00A874AF" w:rsidRPr="00825A3F" w:rsidRDefault="00A874AF" w:rsidP="00A874AF">
      <w:pPr>
        <w:jc w:val="both"/>
        <w:rPr>
          <w:rFonts w:ascii="Arial" w:hAnsi="Arial" w:cs="Arial"/>
        </w:rPr>
      </w:pPr>
    </w:p>
    <w:p w:rsidR="00D148A4" w:rsidRPr="00825A3F" w:rsidRDefault="00D148A4">
      <w:pPr>
        <w:spacing w:after="0"/>
        <w:rPr>
          <w:rFonts w:ascii="Arial" w:hAnsi="Arial" w:cs="Arial"/>
        </w:rPr>
      </w:pPr>
    </w:p>
    <w:p w:rsidR="00CC10B3" w:rsidRPr="00825A3F" w:rsidRDefault="00CC10B3" w:rsidP="00CC10B3">
      <w:pPr>
        <w:pStyle w:val="Titre2"/>
        <w:spacing w:after="1"/>
        <w:ind w:left="175"/>
        <w:rPr>
          <w:rFonts w:ascii="Arial" w:hAnsi="Arial" w:cs="Arial"/>
          <w:sz w:val="22"/>
        </w:rPr>
      </w:pPr>
      <w:r w:rsidRPr="00825A3F">
        <w:rPr>
          <w:rFonts w:ascii="Arial" w:hAnsi="Arial" w:cs="Arial"/>
          <w:color w:val="000000"/>
          <w:sz w:val="22"/>
          <w:u w:val="single" w:color="000000"/>
        </w:rPr>
        <w:t>3– VALORISATIONS DES DECHETS VERTS/BOIS COLLECTES DANS LE CADRE DE L’EXECUTION DU MARCHE (4 POINTS)</w:t>
      </w:r>
    </w:p>
    <w:p w:rsidR="00CC10B3" w:rsidRPr="00825A3F" w:rsidRDefault="00CC10B3" w:rsidP="00CC10B3">
      <w:pPr>
        <w:spacing w:after="0"/>
        <w:ind w:left="180"/>
        <w:rPr>
          <w:rFonts w:ascii="Arial" w:hAnsi="Arial" w:cs="Arial"/>
        </w:rPr>
      </w:pPr>
      <w:r w:rsidRPr="00825A3F">
        <w:rPr>
          <w:rFonts w:ascii="Arial" w:eastAsia="Times New Roman" w:hAnsi="Arial" w:cs="Arial"/>
          <w:b/>
        </w:rPr>
        <w:t xml:space="preserve"> </w:t>
      </w:r>
      <w:r w:rsidR="0016605D" w:rsidRPr="00825A3F">
        <w:rPr>
          <w:rFonts w:ascii="Arial" w:eastAsia="Times New Roman" w:hAnsi="Arial" w:cs="Arial"/>
          <w:b/>
        </w:rPr>
        <w:t xml:space="preserve">Le candidat précise comment il valorise les déchets au niveau de son entreprise (compostage, copeaux de bois, ……) ou </w:t>
      </w:r>
      <w:r w:rsidR="00866B29">
        <w:rPr>
          <w:rFonts w:ascii="Arial" w:eastAsia="Times New Roman" w:hAnsi="Arial" w:cs="Arial"/>
          <w:b/>
        </w:rPr>
        <w:t>s</w:t>
      </w:r>
      <w:r w:rsidR="0016605D" w:rsidRPr="00825A3F">
        <w:rPr>
          <w:rFonts w:ascii="Arial" w:eastAsia="Times New Roman" w:hAnsi="Arial" w:cs="Arial"/>
          <w:b/>
        </w:rPr>
        <w:t>’ils sont uniquement déposés en déchèterie.</w:t>
      </w:r>
    </w:p>
    <w:p w:rsidR="00CC10B3" w:rsidRPr="00825A3F" w:rsidRDefault="00CC10B3" w:rsidP="00CC10B3">
      <w:pPr>
        <w:numPr>
          <w:ilvl w:val="0"/>
          <w:numId w:val="2"/>
        </w:numPr>
        <w:spacing w:after="15" w:line="248" w:lineRule="auto"/>
        <w:ind w:hanging="264"/>
        <w:rPr>
          <w:rFonts w:ascii="Arial" w:hAnsi="Arial" w:cs="Arial"/>
        </w:rPr>
      </w:pPr>
      <w:r w:rsidRPr="00825A3F">
        <w:rPr>
          <w:rFonts w:ascii="Arial" w:eastAsia="Times New Roman" w:hAnsi="Arial" w:cs="Arial"/>
        </w:rPr>
        <w:t>Valorisations des déchets verts collectés</w:t>
      </w:r>
      <w:r w:rsidR="00866B29">
        <w:rPr>
          <w:rFonts w:ascii="Arial" w:eastAsia="Times New Roman" w:hAnsi="Arial" w:cs="Arial"/>
        </w:rPr>
        <w:t xml:space="preserve"> </w:t>
      </w:r>
      <w:r w:rsidRPr="00825A3F">
        <w:rPr>
          <w:rFonts w:ascii="Arial" w:eastAsia="Times New Roman" w:hAnsi="Arial" w:cs="Arial"/>
        </w:rPr>
        <w:t>:</w:t>
      </w:r>
    </w:p>
    <w:p w:rsidR="00CC10B3" w:rsidRPr="00825A3F" w:rsidRDefault="00CC10B3" w:rsidP="00CC10B3">
      <w:pPr>
        <w:spacing w:after="0" w:line="240" w:lineRule="auto"/>
        <w:ind w:left="181"/>
        <w:rPr>
          <w:rFonts w:ascii="Arial" w:eastAsia="Times New Roman" w:hAnsi="Arial" w:cs="Arial"/>
        </w:rPr>
      </w:pPr>
      <w:r w:rsidRPr="00825A3F">
        <w:rPr>
          <w:rFonts w:ascii="Arial" w:eastAsia="Times New Roman" w:hAnsi="Arial" w:cs="Arial"/>
        </w:rPr>
        <w:t xml:space="preserve"> </w:t>
      </w:r>
    </w:p>
    <w:p w:rsidR="00CC10B3" w:rsidRPr="00825A3F" w:rsidRDefault="00CC10B3" w:rsidP="00CC10B3">
      <w:pPr>
        <w:spacing w:after="0" w:line="240" w:lineRule="auto"/>
        <w:ind w:left="181"/>
        <w:rPr>
          <w:rFonts w:ascii="Arial" w:eastAsia="Times New Roman" w:hAnsi="Arial" w:cs="Arial"/>
        </w:rPr>
      </w:pPr>
      <w:r w:rsidRPr="00825A3F">
        <w:rPr>
          <w:rFonts w:ascii="Arial" w:eastAsia="Times New Roman" w:hAnsi="Arial" w:cs="Arial"/>
        </w:rPr>
        <w:t>……………………………………………………………………………………………………………………………………………………………………………………………………………………………………………………………………………………………………………………………………………………………………</w:t>
      </w:r>
    </w:p>
    <w:p w:rsidR="00CC10B3" w:rsidRPr="00825A3F" w:rsidRDefault="00CC10B3" w:rsidP="00CC10B3">
      <w:pPr>
        <w:spacing w:after="0" w:line="240" w:lineRule="auto"/>
        <w:ind w:left="181"/>
        <w:rPr>
          <w:rFonts w:ascii="Arial" w:eastAsia="Times New Roman" w:hAnsi="Arial" w:cs="Arial"/>
        </w:rPr>
      </w:pPr>
    </w:p>
    <w:p w:rsidR="00CC10B3" w:rsidRPr="00825A3F" w:rsidRDefault="00CC10B3" w:rsidP="00CC10B3">
      <w:pPr>
        <w:numPr>
          <w:ilvl w:val="0"/>
          <w:numId w:val="2"/>
        </w:numPr>
        <w:spacing w:after="15" w:line="248" w:lineRule="auto"/>
        <w:ind w:hanging="264"/>
        <w:rPr>
          <w:rFonts w:ascii="Arial" w:hAnsi="Arial" w:cs="Arial"/>
        </w:rPr>
      </w:pPr>
      <w:r w:rsidRPr="00825A3F">
        <w:rPr>
          <w:rFonts w:ascii="Arial" w:eastAsia="Times New Roman" w:hAnsi="Arial" w:cs="Arial"/>
        </w:rPr>
        <w:t xml:space="preserve">Valorisation du bois collectés : </w:t>
      </w:r>
    </w:p>
    <w:p w:rsidR="00CC10B3" w:rsidRPr="00825A3F" w:rsidRDefault="00CC10B3" w:rsidP="00CC10B3">
      <w:pPr>
        <w:spacing w:after="0"/>
        <w:ind w:left="180"/>
        <w:rPr>
          <w:rFonts w:ascii="Arial" w:hAnsi="Arial" w:cs="Arial"/>
        </w:rPr>
      </w:pPr>
      <w:r w:rsidRPr="00825A3F">
        <w:rPr>
          <w:rFonts w:ascii="Arial" w:eastAsia="Arial" w:hAnsi="Arial" w:cs="Arial"/>
        </w:rPr>
        <w:t xml:space="preserve"> </w:t>
      </w:r>
    </w:p>
    <w:p w:rsidR="00CC10B3" w:rsidRPr="00825A3F" w:rsidRDefault="00CC10B3" w:rsidP="00CC10B3">
      <w:pPr>
        <w:spacing w:after="0"/>
        <w:ind w:left="180"/>
        <w:rPr>
          <w:rFonts w:ascii="Arial" w:eastAsia="Times New Roman" w:hAnsi="Arial" w:cs="Arial"/>
        </w:rPr>
      </w:pPr>
      <w:r w:rsidRPr="00825A3F">
        <w:rPr>
          <w:rFonts w:ascii="Arial" w:eastAsia="Times New Roman" w:hAnsi="Arial" w:cs="Arial"/>
        </w:rPr>
        <w:t>……………………………………………………………………………………………………………………………………………………………………………………………………………………………………………………………………………………………………………………………………………………………………</w:t>
      </w:r>
    </w:p>
    <w:p w:rsidR="00D148A4" w:rsidRPr="00825A3F" w:rsidRDefault="00D148A4">
      <w:pPr>
        <w:spacing w:after="0"/>
        <w:rPr>
          <w:rFonts w:ascii="Arial" w:hAnsi="Arial" w:cs="Arial"/>
        </w:rPr>
      </w:pPr>
    </w:p>
    <w:p w:rsidR="00D148A4" w:rsidRPr="00825A3F" w:rsidRDefault="00D148A4">
      <w:pPr>
        <w:spacing w:after="0"/>
        <w:rPr>
          <w:rFonts w:ascii="Arial" w:hAnsi="Arial" w:cs="Arial"/>
        </w:rPr>
      </w:pPr>
    </w:p>
    <w:p w:rsidR="00D148A4" w:rsidRPr="00825A3F" w:rsidRDefault="00D148A4">
      <w:pPr>
        <w:spacing w:after="0"/>
        <w:rPr>
          <w:rFonts w:ascii="Arial" w:hAnsi="Arial" w:cs="Arial"/>
        </w:rPr>
      </w:pPr>
    </w:p>
    <w:p w:rsidR="00BE3870" w:rsidRPr="00825A3F" w:rsidRDefault="00BE3870">
      <w:pPr>
        <w:spacing w:after="0"/>
        <w:rPr>
          <w:rFonts w:ascii="Arial" w:hAnsi="Arial" w:cs="Arial"/>
        </w:rPr>
      </w:pPr>
    </w:p>
    <w:p w:rsidR="009740A2" w:rsidRPr="00825A3F" w:rsidRDefault="009740A2">
      <w:pPr>
        <w:spacing w:after="0"/>
        <w:ind w:left="180"/>
        <w:rPr>
          <w:rFonts w:ascii="Arial" w:hAnsi="Arial" w:cs="Arial"/>
        </w:rPr>
      </w:pPr>
    </w:p>
    <w:p w:rsidR="009740A2" w:rsidRPr="00825A3F" w:rsidRDefault="00A57691">
      <w:pPr>
        <w:tabs>
          <w:tab w:val="center" w:pos="2487"/>
        </w:tabs>
        <w:spacing w:after="5" w:line="250" w:lineRule="auto"/>
        <w:rPr>
          <w:rFonts w:ascii="Arial" w:hAnsi="Arial" w:cs="Arial"/>
        </w:rPr>
      </w:pPr>
      <w:r w:rsidRPr="00825A3F">
        <w:rPr>
          <w:rFonts w:ascii="Arial" w:eastAsia="Times New Roman" w:hAnsi="Arial" w:cs="Arial"/>
        </w:rPr>
        <w:t xml:space="preserve">A </w:t>
      </w:r>
      <w:r w:rsidRPr="00825A3F">
        <w:rPr>
          <w:rFonts w:ascii="Arial" w:eastAsia="Times New Roman" w:hAnsi="Arial" w:cs="Arial"/>
        </w:rPr>
        <w:tab/>
        <w:t xml:space="preserve">, le  </w:t>
      </w:r>
    </w:p>
    <w:p w:rsidR="009740A2" w:rsidRPr="00825A3F" w:rsidRDefault="00A57691">
      <w:pPr>
        <w:spacing w:after="0"/>
        <w:ind w:left="180"/>
        <w:rPr>
          <w:rFonts w:ascii="Arial" w:hAnsi="Arial" w:cs="Arial"/>
        </w:rPr>
      </w:pPr>
      <w:r w:rsidRPr="00825A3F">
        <w:rPr>
          <w:rFonts w:ascii="Arial" w:eastAsia="Times New Roman" w:hAnsi="Arial" w:cs="Arial"/>
        </w:rPr>
        <w:t xml:space="preserve"> </w:t>
      </w:r>
    </w:p>
    <w:p w:rsidR="009740A2" w:rsidRPr="00825A3F" w:rsidRDefault="00A57691">
      <w:pPr>
        <w:spacing w:after="5" w:line="250" w:lineRule="auto"/>
        <w:ind w:left="191" w:hanging="10"/>
        <w:rPr>
          <w:rFonts w:ascii="Arial" w:hAnsi="Arial" w:cs="Arial"/>
        </w:rPr>
      </w:pPr>
      <w:r w:rsidRPr="00825A3F">
        <w:rPr>
          <w:rFonts w:ascii="Arial" w:eastAsia="Times New Roman" w:hAnsi="Arial" w:cs="Arial"/>
        </w:rPr>
        <w:t xml:space="preserve">Cachet société  </w:t>
      </w:r>
    </w:p>
    <w:sectPr w:rsidR="009740A2" w:rsidRPr="00825A3F" w:rsidSect="00383694">
      <w:headerReference w:type="even" r:id="rId7"/>
      <w:footerReference w:type="even" r:id="rId8"/>
      <w:footerReference w:type="default" r:id="rId9"/>
      <w:headerReference w:type="first" r:id="rId10"/>
      <w:footerReference w:type="first" r:id="rId11"/>
      <w:pgSz w:w="16838" w:h="11906" w:orient="landscape"/>
      <w:pgMar w:top="922" w:right="560" w:bottom="993" w:left="528" w:header="713"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805" w:rsidRDefault="00231805">
      <w:pPr>
        <w:spacing w:after="0" w:line="240" w:lineRule="auto"/>
      </w:pPr>
      <w:r>
        <w:separator/>
      </w:r>
    </w:p>
  </w:endnote>
  <w:endnote w:type="continuationSeparator" w:id="0">
    <w:p w:rsidR="00231805" w:rsidRDefault="00231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0A2" w:rsidRDefault="00A57691">
    <w:pPr>
      <w:tabs>
        <w:tab w:val="center" w:pos="4716"/>
        <w:tab w:val="center" w:pos="9111"/>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b/>
        <w:sz w:val="16"/>
      </w:rPr>
      <w:t>1</w:t>
    </w:r>
    <w:r>
      <w:rPr>
        <w:rFonts w:ascii="Times New Roman" w:eastAsia="Times New Roman" w:hAnsi="Times New Roman" w:cs="Times New Roman"/>
        <w:b/>
        <w:sz w:val="16"/>
      </w:rPr>
      <w:fldChar w:fldCharType="end"/>
    </w:r>
    <w:r>
      <w:rPr>
        <w:rFonts w:ascii="Times New Roman" w:eastAsia="Times New Roman" w:hAnsi="Times New Roman" w:cs="Times New Roman"/>
        <w:b/>
        <w:sz w:val="16"/>
      </w:rPr>
      <w:t>/</w:t>
    </w:r>
    <w:r w:rsidR="00231805">
      <w:fldChar w:fldCharType="begin"/>
    </w:r>
    <w:r w:rsidR="00231805">
      <w:instrText xml:space="preserve"> NUMPAGES   \* MERGEFORMAT </w:instrText>
    </w:r>
    <w:r w:rsidR="00231805">
      <w:fldChar w:fldCharType="separate"/>
    </w:r>
    <w:r>
      <w:rPr>
        <w:rFonts w:ascii="Times New Roman" w:eastAsia="Times New Roman" w:hAnsi="Times New Roman" w:cs="Times New Roman"/>
        <w:b/>
        <w:sz w:val="16"/>
      </w:rPr>
      <w:t>10</w:t>
    </w:r>
    <w:r w:rsidR="00231805">
      <w:rPr>
        <w:rFonts w:ascii="Times New Roman" w:eastAsia="Times New Roman" w:hAnsi="Times New Roman" w:cs="Times New Roman"/>
        <w:b/>
        <w:sz w:val="16"/>
      </w:rPr>
      <w:fldChar w:fldCharType="end"/>
    </w:r>
    <w:r>
      <w:rPr>
        <w:rFonts w:ascii="Times New Roman" w:eastAsia="Times New Roman" w:hAnsi="Times New Roman" w:cs="Times New Roman"/>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0A2" w:rsidRDefault="00A57691">
    <w:pPr>
      <w:tabs>
        <w:tab w:val="center" w:pos="4716"/>
        <w:tab w:val="center" w:pos="9111"/>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B92AF3" w:rsidRPr="00B92AF3">
      <w:rPr>
        <w:rFonts w:ascii="Times New Roman" w:eastAsia="Times New Roman" w:hAnsi="Times New Roman" w:cs="Times New Roman"/>
        <w:b/>
        <w:noProof/>
        <w:sz w:val="16"/>
      </w:rPr>
      <w:t>3</w:t>
    </w:r>
    <w:r>
      <w:rPr>
        <w:rFonts w:ascii="Times New Roman" w:eastAsia="Times New Roman" w:hAnsi="Times New Roman" w:cs="Times New Roman"/>
        <w:b/>
        <w:sz w:val="16"/>
      </w:rPr>
      <w:fldChar w:fldCharType="end"/>
    </w:r>
    <w:r>
      <w:rPr>
        <w:rFonts w:ascii="Times New Roman" w:eastAsia="Times New Roman" w:hAnsi="Times New Roman" w:cs="Times New Roman"/>
        <w:b/>
        <w:sz w:val="16"/>
      </w:rPr>
      <w:t>/</w:t>
    </w:r>
    <w:r w:rsidR="00231805">
      <w:fldChar w:fldCharType="begin"/>
    </w:r>
    <w:r w:rsidR="00231805">
      <w:instrText xml:space="preserve"> NUMPAGES   \* MERGEFORMAT </w:instrText>
    </w:r>
    <w:r w:rsidR="00231805">
      <w:fldChar w:fldCharType="separate"/>
    </w:r>
    <w:r w:rsidR="00B92AF3" w:rsidRPr="00B92AF3">
      <w:rPr>
        <w:rFonts w:ascii="Times New Roman" w:eastAsia="Times New Roman" w:hAnsi="Times New Roman" w:cs="Times New Roman"/>
        <w:b/>
        <w:noProof/>
        <w:sz w:val="16"/>
      </w:rPr>
      <w:t>3</w:t>
    </w:r>
    <w:r w:rsidR="00231805">
      <w:rPr>
        <w:rFonts w:ascii="Times New Roman" w:eastAsia="Times New Roman" w:hAnsi="Times New Roman" w:cs="Times New Roman"/>
        <w:b/>
        <w:noProof/>
        <w:sz w:val="16"/>
      </w:rPr>
      <w:fldChar w:fldCharType="end"/>
    </w:r>
    <w:r>
      <w:rPr>
        <w:rFonts w:ascii="Times New Roman" w:eastAsia="Times New Roman" w:hAnsi="Times New Roman" w:cs="Times New Roman"/>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0A2" w:rsidRDefault="00A57691">
    <w:pPr>
      <w:tabs>
        <w:tab w:val="center" w:pos="4716"/>
        <w:tab w:val="center" w:pos="9111"/>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b/>
        <w:sz w:val="16"/>
      </w:rPr>
      <w:t>1</w:t>
    </w:r>
    <w:r>
      <w:rPr>
        <w:rFonts w:ascii="Times New Roman" w:eastAsia="Times New Roman" w:hAnsi="Times New Roman" w:cs="Times New Roman"/>
        <w:b/>
        <w:sz w:val="16"/>
      </w:rPr>
      <w:fldChar w:fldCharType="end"/>
    </w:r>
    <w:r>
      <w:rPr>
        <w:rFonts w:ascii="Times New Roman" w:eastAsia="Times New Roman" w:hAnsi="Times New Roman" w:cs="Times New Roman"/>
        <w:b/>
        <w:sz w:val="16"/>
      </w:rPr>
      <w:t>/</w:t>
    </w:r>
    <w:r w:rsidR="00231805">
      <w:fldChar w:fldCharType="begin"/>
    </w:r>
    <w:r w:rsidR="00231805">
      <w:instrText xml:space="preserve"> NUMPAGES   \* MERGEFORMAT </w:instrText>
    </w:r>
    <w:r w:rsidR="00231805">
      <w:fldChar w:fldCharType="separate"/>
    </w:r>
    <w:r>
      <w:rPr>
        <w:rFonts w:ascii="Times New Roman" w:eastAsia="Times New Roman" w:hAnsi="Times New Roman" w:cs="Times New Roman"/>
        <w:b/>
        <w:sz w:val="16"/>
      </w:rPr>
      <w:t>10</w:t>
    </w:r>
    <w:r w:rsidR="00231805">
      <w:rPr>
        <w:rFonts w:ascii="Times New Roman" w:eastAsia="Times New Roman" w:hAnsi="Times New Roman" w:cs="Times New Roman"/>
        <w:b/>
        <w:sz w:val="16"/>
      </w:rPr>
      <w:fldChar w:fldCharType="end"/>
    </w:r>
    <w:r>
      <w:rPr>
        <w:rFonts w:ascii="Times New Roman" w:eastAsia="Times New Roman" w:hAnsi="Times New Roman" w:cs="Times New Roman"/>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805" w:rsidRDefault="00231805">
      <w:pPr>
        <w:spacing w:after="0" w:line="240" w:lineRule="auto"/>
      </w:pPr>
      <w:r>
        <w:separator/>
      </w:r>
    </w:p>
  </w:footnote>
  <w:footnote w:type="continuationSeparator" w:id="0">
    <w:p w:rsidR="00231805" w:rsidRDefault="002318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0A2" w:rsidRDefault="00A57691">
    <w:pPr>
      <w:spacing w:after="0"/>
      <w:ind w:left="180"/>
    </w:pPr>
    <w:r>
      <w:rPr>
        <w:rFonts w:ascii="Arial" w:eastAsia="Arial" w:hAnsi="Arial" w:cs="Arial"/>
        <w:sz w:val="18"/>
      </w:rPr>
      <w:t xml:space="preserve">DAF_2021_000065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0A2" w:rsidRDefault="00A57691">
    <w:pPr>
      <w:spacing w:after="0"/>
      <w:ind w:left="180"/>
    </w:pPr>
    <w:r>
      <w:rPr>
        <w:rFonts w:ascii="Arial" w:eastAsia="Arial" w:hAnsi="Arial" w:cs="Arial"/>
        <w:sz w:val="18"/>
      </w:rPr>
      <w:t xml:space="preserve">DAF_2021_000065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2692"/>
    <w:multiLevelType w:val="hybridMultilevel"/>
    <w:tmpl w:val="6C3EFBC4"/>
    <w:lvl w:ilvl="0" w:tplc="FA22993A">
      <w:start w:val="1"/>
      <w:numFmt w:val="bullet"/>
      <w:lvlText w:val=""/>
      <w:lvlJc w:val="left"/>
      <w:pPr>
        <w:ind w:left="44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1" w:tplc="C0A28C7C">
      <w:start w:val="1"/>
      <w:numFmt w:val="bullet"/>
      <w:lvlText w:val="o"/>
      <w:lvlJc w:val="left"/>
      <w:pPr>
        <w:ind w:left="108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EE3E43D0">
      <w:start w:val="1"/>
      <w:numFmt w:val="bullet"/>
      <w:lvlText w:val="▪"/>
      <w:lvlJc w:val="left"/>
      <w:pPr>
        <w:ind w:left="18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0AAE0308">
      <w:start w:val="1"/>
      <w:numFmt w:val="bullet"/>
      <w:lvlText w:val="•"/>
      <w:lvlJc w:val="left"/>
      <w:pPr>
        <w:ind w:left="25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862CED6A">
      <w:start w:val="1"/>
      <w:numFmt w:val="bullet"/>
      <w:lvlText w:val="o"/>
      <w:lvlJc w:val="left"/>
      <w:pPr>
        <w:ind w:left="324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A4EC59BE">
      <w:start w:val="1"/>
      <w:numFmt w:val="bullet"/>
      <w:lvlText w:val="▪"/>
      <w:lvlJc w:val="left"/>
      <w:pPr>
        <w:ind w:left="396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37DA18FC">
      <w:start w:val="1"/>
      <w:numFmt w:val="bullet"/>
      <w:lvlText w:val="•"/>
      <w:lvlJc w:val="left"/>
      <w:pPr>
        <w:ind w:left="468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02C835F0">
      <w:start w:val="1"/>
      <w:numFmt w:val="bullet"/>
      <w:lvlText w:val="o"/>
      <w:lvlJc w:val="left"/>
      <w:pPr>
        <w:ind w:left="540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AAE83A4E">
      <w:start w:val="1"/>
      <w:numFmt w:val="bullet"/>
      <w:lvlText w:val="▪"/>
      <w:lvlJc w:val="left"/>
      <w:pPr>
        <w:ind w:left="61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17846600"/>
    <w:multiLevelType w:val="hybridMultilevel"/>
    <w:tmpl w:val="EC541072"/>
    <w:lvl w:ilvl="0" w:tplc="56C057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C024D5"/>
    <w:multiLevelType w:val="hybridMultilevel"/>
    <w:tmpl w:val="76B8F786"/>
    <w:lvl w:ilvl="0" w:tplc="8EB06E94">
      <w:start w:val="1"/>
      <w:numFmt w:val="bullet"/>
      <w:lvlText w:val=""/>
      <w:lvlJc w:val="left"/>
      <w:pPr>
        <w:ind w:left="26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1" w:tplc="8BA83D7A">
      <w:start w:val="1"/>
      <w:numFmt w:val="bullet"/>
      <w:lvlText w:val="o"/>
      <w:lvlJc w:val="left"/>
      <w:pPr>
        <w:ind w:left="1093"/>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C73E301A">
      <w:start w:val="1"/>
      <w:numFmt w:val="bullet"/>
      <w:lvlText w:val="▪"/>
      <w:lvlJc w:val="left"/>
      <w:pPr>
        <w:ind w:left="1813"/>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C4FA1DEC">
      <w:start w:val="1"/>
      <w:numFmt w:val="bullet"/>
      <w:lvlText w:val="•"/>
      <w:lvlJc w:val="left"/>
      <w:pPr>
        <w:ind w:left="2533"/>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48E0068C">
      <w:start w:val="1"/>
      <w:numFmt w:val="bullet"/>
      <w:lvlText w:val="o"/>
      <w:lvlJc w:val="left"/>
      <w:pPr>
        <w:ind w:left="3253"/>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87DEC54C">
      <w:start w:val="1"/>
      <w:numFmt w:val="bullet"/>
      <w:lvlText w:val="▪"/>
      <w:lvlJc w:val="left"/>
      <w:pPr>
        <w:ind w:left="3973"/>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9D8A1D14">
      <w:start w:val="1"/>
      <w:numFmt w:val="bullet"/>
      <w:lvlText w:val="•"/>
      <w:lvlJc w:val="left"/>
      <w:pPr>
        <w:ind w:left="4693"/>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0024D5B4">
      <w:start w:val="1"/>
      <w:numFmt w:val="bullet"/>
      <w:lvlText w:val="o"/>
      <w:lvlJc w:val="left"/>
      <w:pPr>
        <w:ind w:left="5413"/>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D4E6FFC0">
      <w:start w:val="1"/>
      <w:numFmt w:val="bullet"/>
      <w:lvlText w:val="▪"/>
      <w:lvlJc w:val="left"/>
      <w:pPr>
        <w:ind w:left="6133"/>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2F102EED"/>
    <w:multiLevelType w:val="hybridMultilevel"/>
    <w:tmpl w:val="E1565728"/>
    <w:lvl w:ilvl="0" w:tplc="0592302C">
      <w:start w:val="3"/>
      <w:numFmt w:val="decimal"/>
      <w:lvlText w:val="%1"/>
      <w:lvlJc w:val="left"/>
      <w:pPr>
        <w:ind w:left="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8E3CD2">
      <w:start w:val="1"/>
      <w:numFmt w:val="lowerLetter"/>
      <w:lvlText w:val="%2"/>
      <w:lvlJc w:val="left"/>
      <w:pPr>
        <w:ind w:left="2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FCD112">
      <w:start w:val="1"/>
      <w:numFmt w:val="lowerRoman"/>
      <w:lvlText w:val="%3"/>
      <w:lvlJc w:val="left"/>
      <w:pPr>
        <w:ind w:left="3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703B5C">
      <w:start w:val="1"/>
      <w:numFmt w:val="decimal"/>
      <w:lvlText w:val="%4"/>
      <w:lvlJc w:val="left"/>
      <w:pPr>
        <w:ind w:left="3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22985A">
      <w:start w:val="1"/>
      <w:numFmt w:val="lowerLetter"/>
      <w:lvlText w:val="%5"/>
      <w:lvlJc w:val="left"/>
      <w:pPr>
        <w:ind w:left="4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B01ECE">
      <w:start w:val="1"/>
      <w:numFmt w:val="lowerRoman"/>
      <w:lvlText w:val="%6"/>
      <w:lvlJc w:val="left"/>
      <w:pPr>
        <w:ind w:left="5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28F616">
      <w:start w:val="1"/>
      <w:numFmt w:val="decimal"/>
      <w:lvlText w:val="%7"/>
      <w:lvlJc w:val="left"/>
      <w:pPr>
        <w:ind w:left="6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2CFA16">
      <w:start w:val="1"/>
      <w:numFmt w:val="lowerLetter"/>
      <w:lvlText w:val="%8"/>
      <w:lvlJc w:val="left"/>
      <w:pPr>
        <w:ind w:left="6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EAA694">
      <w:start w:val="1"/>
      <w:numFmt w:val="lowerRoman"/>
      <w:lvlText w:val="%9"/>
      <w:lvlJc w:val="left"/>
      <w:pPr>
        <w:ind w:left="7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A2E0DB8"/>
    <w:multiLevelType w:val="hybridMultilevel"/>
    <w:tmpl w:val="9AE0F26E"/>
    <w:lvl w:ilvl="0" w:tplc="DD9E7B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0A2"/>
    <w:rsid w:val="000427B6"/>
    <w:rsid w:val="0016605D"/>
    <w:rsid w:val="00217835"/>
    <w:rsid w:val="00231805"/>
    <w:rsid w:val="00290FCF"/>
    <w:rsid w:val="002E631F"/>
    <w:rsid w:val="0037130B"/>
    <w:rsid w:val="00383694"/>
    <w:rsid w:val="00392F0E"/>
    <w:rsid w:val="003947E6"/>
    <w:rsid w:val="003C09F5"/>
    <w:rsid w:val="003F32B3"/>
    <w:rsid w:val="00437008"/>
    <w:rsid w:val="0047620C"/>
    <w:rsid w:val="00583301"/>
    <w:rsid w:val="00596A45"/>
    <w:rsid w:val="00825A3F"/>
    <w:rsid w:val="00866B29"/>
    <w:rsid w:val="0087611D"/>
    <w:rsid w:val="008D729E"/>
    <w:rsid w:val="00936448"/>
    <w:rsid w:val="009740A2"/>
    <w:rsid w:val="00A57691"/>
    <w:rsid w:val="00A874AF"/>
    <w:rsid w:val="00B63ABF"/>
    <w:rsid w:val="00B92AF3"/>
    <w:rsid w:val="00BD691B"/>
    <w:rsid w:val="00BE3870"/>
    <w:rsid w:val="00C11A7C"/>
    <w:rsid w:val="00C51056"/>
    <w:rsid w:val="00C53E60"/>
    <w:rsid w:val="00CC10B3"/>
    <w:rsid w:val="00D148A4"/>
    <w:rsid w:val="00DC28F8"/>
    <w:rsid w:val="00E37014"/>
    <w:rsid w:val="00F93D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4F47D"/>
  <w15:docId w15:val="{18ED8BCF-5A7E-46C4-A86D-83D6B12BE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left="10" w:right="112" w:hanging="10"/>
      <w:outlineLvl w:val="0"/>
    </w:pPr>
    <w:rPr>
      <w:rFonts w:ascii="Times New Roman" w:eastAsia="Times New Roman" w:hAnsi="Times New Roman" w:cs="Times New Roman"/>
      <w:b/>
      <w:color w:val="000000"/>
      <w:sz w:val="24"/>
    </w:rPr>
  </w:style>
  <w:style w:type="paragraph" w:styleId="Titre2">
    <w:name w:val="heading 2"/>
    <w:next w:val="Normal"/>
    <w:link w:val="Titre2Car"/>
    <w:uiPriority w:val="9"/>
    <w:unhideWhenUsed/>
    <w:qFormat/>
    <w:pPr>
      <w:keepNext/>
      <w:keepLines/>
      <w:spacing w:after="0"/>
      <w:ind w:left="190" w:hanging="10"/>
      <w:outlineLvl w:val="1"/>
    </w:pPr>
    <w:rPr>
      <w:rFonts w:ascii="Times New Roman" w:eastAsia="Times New Roman" w:hAnsi="Times New Roman" w:cs="Times New Roman"/>
      <w:b/>
      <w:color w:val="FF0000"/>
      <w:sz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Times New Roman" w:eastAsia="Times New Roman" w:hAnsi="Times New Roman" w:cs="Times New Roman"/>
      <w:b/>
      <w:color w:val="FF0000"/>
      <w:sz w:val="23"/>
    </w:rPr>
  </w:style>
  <w:style w:type="character" w:customStyle="1" w:styleId="Titre1Car">
    <w:name w:val="Titre 1 Car"/>
    <w:link w:val="Titre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semiHidden/>
    <w:unhideWhenUsed/>
    <w:rsid w:val="003C09F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C09F5"/>
    <w:rPr>
      <w:rFonts w:ascii="Calibri" w:eastAsia="Calibri" w:hAnsi="Calibri" w:cs="Calibri"/>
      <w:color w:val="000000"/>
    </w:rPr>
  </w:style>
  <w:style w:type="paragraph" w:styleId="Paragraphedeliste">
    <w:name w:val="List Paragraph"/>
    <w:basedOn w:val="Normal"/>
    <w:uiPriority w:val="34"/>
    <w:qFormat/>
    <w:rsid w:val="00B63A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712</Words>
  <Characters>3920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HUYGHE Cecile AAE</dc:creator>
  <cp:keywords/>
  <cp:lastModifiedBy>HUYGHE Cecile AAE</cp:lastModifiedBy>
  <cp:revision>7</cp:revision>
  <dcterms:created xsi:type="dcterms:W3CDTF">2025-10-30T14:43:00Z</dcterms:created>
  <dcterms:modified xsi:type="dcterms:W3CDTF">2025-11-07T12:28:00Z</dcterms:modified>
</cp:coreProperties>
</file>